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b/>
        </w:rPr>
      </w:pPr>
      <w:r>
        <w:rPr>
          <w:rFonts w:hint="eastAsia"/>
          <w:b/>
        </w:rPr>
        <w:t>浙江大学电气工程学院2021年博士研究生招生简章</w:t>
      </w:r>
    </w:p>
    <w:p>
      <w:pPr>
        <w:adjustRightInd w:val="0"/>
        <w:snapToGrid w:val="0"/>
        <w:ind w:firstLine="420" w:firstLineChars="200"/>
        <w:rPr>
          <w:rFonts w:asciiTheme="minorEastAsia" w:hAnsiTheme="minorEastAsia"/>
          <w:kern w:val="0"/>
          <w:szCs w:val="21"/>
        </w:rPr>
      </w:pPr>
      <w:r>
        <w:rPr>
          <w:rFonts w:hint="eastAsia" w:asciiTheme="minorEastAsia" w:hAnsiTheme="minorEastAsia"/>
          <w:kern w:val="0"/>
          <w:szCs w:val="21"/>
        </w:rPr>
        <w:t>浙江大学电气工程学院前身是浙江大学电机系，创建于</w:t>
      </w:r>
      <w:r>
        <w:rPr>
          <w:rFonts w:ascii="Times New Roman" w:hAnsi="Times New Roman" w:cs="Times New Roman"/>
          <w:kern w:val="0"/>
          <w:szCs w:val="21"/>
        </w:rPr>
        <w:t>1920</w:t>
      </w:r>
      <w:r>
        <w:rPr>
          <w:rFonts w:hint="eastAsia" w:asciiTheme="minorEastAsia" w:hAnsiTheme="minorEastAsia"/>
          <w:kern w:val="0"/>
          <w:szCs w:val="21"/>
        </w:rPr>
        <w:t>年，是我国最早创建电机系之一。学院所属学科涉及电气工程、控制科学与工程；电气工程一级学科是国家首批一级学科博士点，也是首批国家重点一级学科；设有博士后科研流动站；建有电力电子应用技术国家工程研究中心、电力电子技术国家专业实验室、</w:t>
      </w:r>
      <w:r>
        <w:fldChar w:fldCharType="begin"/>
      </w:r>
      <w:r>
        <w:instrText xml:space="preserve"> HYPERLINK "http://eelab.zju.edu.cn/" \t "_blank" </w:instrText>
      </w:r>
      <w:r>
        <w:fldChar w:fldCharType="separate"/>
      </w:r>
      <w:r>
        <w:rPr>
          <w:rFonts w:asciiTheme="minorEastAsia" w:hAnsiTheme="minorEastAsia"/>
          <w:kern w:val="0"/>
          <w:szCs w:val="21"/>
        </w:rPr>
        <w:t>国家级电工电子实验教学示范中心</w:t>
      </w:r>
      <w:r>
        <w:rPr>
          <w:rFonts w:asciiTheme="minorEastAsia" w:hAnsiTheme="minorEastAsia"/>
          <w:kern w:val="0"/>
          <w:szCs w:val="21"/>
        </w:rPr>
        <w:fldChar w:fldCharType="end"/>
      </w:r>
      <w:r>
        <w:rPr>
          <w:rFonts w:hint="eastAsia" w:asciiTheme="minorEastAsia" w:hAnsiTheme="minorEastAsia"/>
          <w:kern w:val="0"/>
          <w:szCs w:val="21"/>
        </w:rPr>
        <w:t>、浙江省海洋可再生能源电气装备与系统技术研究重点实验室、浙江省电机系统智能控制与变流技术重点实验室。</w:t>
      </w:r>
    </w:p>
    <w:p>
      <w:pPr>
        <w:tabs>
          <w:tab w:val="left" w:pos="180"/>
        </w:tabs>
        <w:adjustRightInd w:val="0"/>
        <w:snapToGrid w:val="0"/>
        <w:ind w:firstLine="420" w:firstLineChars="200"/>
        <w:jc w:val="left"/>
        <w:rPr>
          <w:rFonts w:asciiTheme="minorEastAsia" w:hAnsiTheme="minorEastAsia"/>
          <w:kern w:val="0"/>
          <w:szCs w:val="21"/>
        </w:rPr>
      </w:pPr>
      <w:r>
        <w:rPr>
          <w:rFonts w:hint="eastAsia" w:asciiTheme="minorEastAsia" w:hAnsiTheme="minorEastAsia"/>
          <w:kern w:val="0"/>
          <w:szCs w:val="21"/>
        </w:rPr>
        <w:t>学院已为社会输送了大量高端拔尖创新人才，截止目前，已累计授予全日制博士学位980人。202</w:t>
      </w:r>
      <w:r>
        <w:rPr>
          <w:rFonts w:hint="eastAsia" w:asciiTheme="minorEastAsia" w:hAnsiTheme="minorEastAsia"/>
          <w:kern w:val="0"/>
          <w:szCs w:val="21"/>
          <w:lang w:val="en-US" w:eastAsia="zh-CN"/>
        </w:rPr>
        <w:t>1</w:t>
      </w:r>
      <w:r>
        <w:rPr>
          <w:rFonts w:hint="eastAsia" w:asciiTheme="minorEastAsia" w:hAnsiTheme="minorEastAsia"/>
          <w:kern w:val="0"/>
          <w:szCs w:val="21"/>
        </w:rPr>
        <w:t>年计划在电气工程一级学科、控制理论与控制工程二级学科招收全日制非定向学术学位博士研究生；在能源动力、电子信息和交通运输等专业学位招收全日制非定向工程博士。</w:t>
      </w:r>
    </w:p>
    <w:p>
      <w:pPr>
        <w:numPr>
          <w:ilvl w:val="0"/>
          <w:numId w:val="1"/>
        </w:numPr>
      </w:pPr>
      <w:r>
        <w:rPr>
          <w:rFonts w:hint="eastAsia"/>
          <w:b/>
        </w:rPr>
        <w:t>招生方式</w:t>
      </w:r>
    </w:p>
    <w:p>
      <w:pPr>
        <w:ind w:firstLine="420" w:firstLineChars="200"/>
      </w:pPr>
      <w:r>
        <w:rPr>
          <w:rFonts w:hint="eastAsia"/>
        </w:rPr>
        <w:t>直接攻博、硕博连读、普通招考</w:t>
      </w:r>
    </w:p>
    <w:p>
      <w:pPr>
        <w:numPr>
          <w:ilvl w:val="0"/>
          <w:numId w:val="1"/>
        </w:numPr>
      </w:pPr>
      <w:r>
        <w:rPr>
          <w:rFonts w:hint="eastAsia"/>
          <w:b/>
        </w:rPr>
        <w:t>招生专业</w:t>
      </w:r>
    </w:p>
    <w:p>
      <w:r>
        <w:rPr>
          <w:rFonts w:hint="eastAsia"/>
        </w:rPr>
        <w:t>1、招生专业：1）学术学位博士：电气工程（080800）、控制理论与控制工程（081101）</w:t>
      </w:r>
    </w:p>
    <w:p>
      <w:pPr>
        <w:ind w:firstLine="420"/>
      </w:pPr>
      <w:r>
        <w:rPr>
          <w:rFonts w:hint="eastAsia"/>
        </w:rPr>
        <w:t xml:space="preserve">         2）专业学位博士：能源动力（085800）、电子信息（085400）、交通运输（086100）</w:t>
      </w:r>
    </w:p>
    <w:p>
      <w:r>
        <w:rPr>
          <w:rFonts w:hint="eastAsia"/>
        </w:rPr>
        <w:t>2、学制：直接攻博生学制5年；硕博连读生学制是硕士学习年限加博士学习年限合计5年；普通招考生学术学位博士3.5年、工程类</w:t>
      </w:r>
      <w:r>
        <w:t>专业学位</w:t>
      </w:r>
      <w:r>
        <w:rPr>
          <w:rFonts w:hint="eastAsia"/>
        </w:rPr>
        <w:t>博士4年。</w:t>
      </w:r>
    </w:p>
    <w:p>
      <w:r>
        <w:rPr>
          <w:rFonts w:hint="eastAsia"/>
        </w:rPr>
        <w:t>3、学习方式：全日制</w:t>
      </w:r>
    </w:p>
    <w:p>
      <w:r>
        <w:rPr>
          <w:rFonts w:hint="eastAsia"/>
          <w:b/>
        </w:rPr>
        <w:t>三、各类博士生的申请条件</w:t>
      </w:r>
    </w:p>
    <w:p>
      <w:pPr>
        <w:spacing w:line="240" w:lineRule="auto"/>
        <w:ind w:firstLine="420"/>
        <w:jc w:val="left"/>
        <w:rPr>
          <w:b/>
          <w:bCs/>
        </w:rPr>
      </w:pPr>
      <w:r>
        <w:rPr>
          <w:rFonts w:hint="eastAsia"/>
          <w:b/>
          <w:bCs/>
        </w:rPr>
        <w:t>（一）基本条件</w:t>
      </w:r>
    </w:p>
    <w:p>
      <w:pPr>
        <w:jc w:val="left"/>
      </w:pPr>
      <w:r>
        <w:rPr>
          <w:rFonts w:hint="eastAsia"/>
        </w:rPr>
        <w:t>1、申请者需是中华人民共和国公民；</w:t>
      </w:r>
    </w:p>
    <w:p>
      <w:pPr>
        <w:jc w:val="left"/>
      </w:pPr>
      <w:r>
        <w:rPr>
          <w:rFonts w:hint="eastAsia"/>
        </w:rPr>
        <w:t>2、拥护中国共产党的领导，具有正确的政治方向，热爱祖国，愿为社会主义现代化建设服务，遵纪守法，品行端正；</w:t>
      </w:r>
    </w:p>
    <w:p>
      <w:pPr>
        <w:jc w:val="left"/>
      </w:pPr>
      <w:r>
        <w:rPr>
          <w:rFonts w:hint="eastAsia"/>
        </w:rPr>
        <w:t>3、硕士研究生毕业或已获得硕士学位的人员、应届毕业的硕士研究生（最迟须在入学前毕业或取得硕士学位）可以申请普通招考博士生；本校在读的全日制硕士研究生，可申请硕博连读博士生；获得 2021年推荐免试资格的优秀应届本科毕业生可直接申请攻读学术学位博士生；</w:t>
      </w:r>
    </w:p>
    <w:p>
      <w:pPr>
        <w:jc w:val="left"/>
      </w:pPr>
      <w:r>
        <w:rPr>
          <w:rFonts w:hint="eastAsia"/>
        </w:rPr>
        <w:t>4、身体健康状况符合国家和学校规定的体检要求；</w:t>
      </w:r>
    </w:p>
    <w:p>
      <w:pPr>
        <w:jc w:val="left"/>
      </w:pPr>
      <w:r>
        <w:rPr>
          <w:rFonts w:hint="eastAsia"/>
        </w:rPr>
        <w:t>5、有至少两名报考学科专业领域内教授（或相当专业职称的专家）的书面推荐意见；</w:t>
      </w:r>
    </w:p>
    <w:p>
      <w:pPr>
        <w:jc w:val="left"/>
      </w:pPr>
      <w:r>
        <w:rPr>
          <w:rFonts w:hint="eastAsia"/>
        </w:rPr>
        <w:t>6、现在读博士生报考须在报名前征得所在培养单位同意，报名截止日前需向我校研究生招生处提交所在培养单位“同意报考”的证明；</w:t>
      </w:r>
    </w:p>
    <w:p>
      <w:pPr>
        <w:jc w:val="left"/>
      </w:pPr>
      <w:r>
        <w:rPr>
          <w:rFonts w:hint="eastAsia"/>
        </w:rPr>
        <w:t>7、</w:t>
      </w:r>
      <w:r>
        <w:rPr>
          <w:rFonts w:hint="eastAsia" w:asciiTheme="minorEastAsia" w:hAnsiTheme="minorEastAsia"/>
          <w:szCs w:val="21"/>
        </w:rPr>
        <w:t>非全日制工程类博士专业学位研究生申请者，具体要求详见《浙江大学2021年非全日制工程类博士专业学位研究生招生简章》</w:t>
      </w:r>
      <w:r>
        <w:rPr>
          <w:rFonts w:hint="eastAsia" w:ascii="仿宋" w:hAnsi="仿宋" w:eastAsia="仿宋"/>
          <w:szCs w:val="21"/>
        </w:rPr>
        <w:t>；</w:t>
      </w:r>
    </w:p>
    <w:p>
      <w:pPr>
        <w:jc w:val="left"/>
      </w:pPr>
      <w:r>
        <w:rPr>
          <w:rFonts w:hint="eastAsia"/>
        </w:rPr>
        <w:t xml:space="preserve">8、教育部各类专项计划 “少数民族高层次骨干人才计划”等申请者除满足1-6外，还须符合教育部相应专项计划的报考要求，相关部门审核通过者才可申请。 </w:t>
      </w:r>
    </w:p>
    <w:p>
      <w:pPr>
        <w:jc w:val="left"/>
      </w:pPr>
      <w:r>
        <w:rPr>
          <w:rFonts w:hint="eastAsia"/>
        </w:rPr>
        <w:t>9、申请人持境外获得的学位证书申请，须通过教育部留学服务中心认证并提交认证报告。</w:t>
      </w:r>
    </w:p>
    <w:p>
      <w:pPr>
        <w:jc w:val="left"/>
      </w:pPr>
      <w:r>
        <w:rPr>
          <w:rFonts w:hint="eastAsia"/>
        </w:rPr>
        <w:t xml:space="preserve">  申请者在申请前应确认本人是否符合申请条件，不符合申请条件者将不予录取；在学期间或毕业后如发现申请材料、前置学历学位等弄虚作假，相关后果由申请者本人承担。</w:t>
      </w:r>
    </w:p>
    <w:p>
      <w:pPr>
        <w:spacing w:line="240" w:lineRule="auto"/>
        <w:ind w:firstLine="420"/>
        <w:jc w:val="left"/>
        <w:rPr>
          <w:b/>
          <w:bCs/>
        </w:rPr>
      </w:pPr>
      <w:r>
        <w:rPr>
          <w:rFonts w:hint="eastAsia"/>
          <w:b/>
          <w:bCs/>
        </w:rPr>
        <w:t>（二）外语与学术条件</w:t>
      </w:r>
    </w:p>
    <w:p>
      <w:pPr>
        <w:ind w:left="1365" w:hanging="1365" w:hangingChars="650"/>
        <w:jc w:val="left"/>
      </w:pPr>
      <w:r>
        <w:rPr>
          <w:rFonts w:hint="eastAsia"/>
        </w:rPr>
        <w:t>1、直博攻博：具有免试推荐资格的优秀本科生，且英语六级480分或雅思5.5或托福80以上。英语六级成绩在460-479分之间的免试推荐生，学院招生领导小组根据该生综合申请材料等情况，审核决定是否同意进入下一阶段考核。</w:t>
      </w:r>
    </w:p>
    <w:p>
      <w:r>
        <w:rPr>
          <w:rFonts w:hint="eastAsia"/>
        </w:rPr>
        <w:t>2、硕博连读：本校优秀在读硕士生，且英语六级460分或雅思5.5或托福80或通过研究生英语课程。</w:t>
      </w:r>
    </w:p>
    <w:p>
      <w:pPr>
        <w:adjustRightInd/>
        <w:snapToGrid/>
        <w:ind w:left="0" w:firstLine="0" w:firstLineChars="0"/>
        <w:jc w:val="left"/>
      </w:pPr>
      <w:r>
        <w:rPr>
          <w:rFonts w:hint="eastAsia"/>
        </w:rPr>
        <w:t>3、普通招考：1）应届硕士生毕业或已获硕士学位毕业生。</w:t>
      </w:r>
      <w:r>
        <w:rPr>
          <w:rFonts w:hint="eastAsia"/>
          <w:b/>
          <w:bCs/>
        </w:rPr>
        <w:t>2</w:t>
      </w:r>
      <w:r>
        <w:rPr>
          <w:rFonts w:hint="eastAsia"/>
        </w:rPr>
        <w:t>）英语：应具有较好的听、说、读、写能力。需通过下列考试之一：</w:t>
      </w:r>
      <w:r>
        <w:rPr>
          <w:rFonts w:hint="eastAsia" w:ascii="宋体" w:hAnsi="宋体" w:eastAsia="宋体" w:cs="宋体"/>
          <w:kern w:val="0"/>
          <w:sz w:val="22"/>
        </w:rPr>
        <w:t>大学英语六级460及以上或WSK（PETS 5）合格或英语专业八级合格或英语国家获得过学士及以上学位</w:t>
      </w:r>
      <w:r>
        <w:rPr>
          <w:rFonts w:hint="eastAsia"/>
        </w:rPr>
        <w:t>（成绩有效期5年，计算到202</w:t>
      </w:r>
      <w:r>
        <w:rPr>
          <w:rFonts w:hint="eastAsia"/>
          <w:lang w:val="en-US" w:eastAsia="zh-CN"/>
        </w:rPr>
        <w:t>1</w:t>
      </w:r>
      <w:r>
        <w:rPr>
          <w:rFonts w:hint="eastAsia"/>
        </w:rPr>
        <w:t>年6月30日，下同）</w:t>
      </w:r>
      <w:r>
        <w:rPr>
          <w:rFonts w:hint="eastAsia" w:ascii="宋体" w:hAnsi="宋体" w:eastAsia="宋体" w:cs="宋体"/>
          <w:kern w:val="0"/>
          <w:sz w:val="22"/>
        </w:rPr>
        <w:t>；或雅思5.5及以上或托福80及以上（</w:t>
      </w:r>
      <w:r>
        <w:rPr>
          <w:rFonts w:hint="eastAsia" w:ascii="宋体" w:hAnsi="宋体" w:eastAsia="宋体" w:cs="宋体"/>
          <w:kern w:val="0"/>
          <w:sz w:val="22"/>
          <w:szCs w:val="22"/>
        </w:rPr>
        <w:t>雅思和托福成绩有效期参照证书有效期</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w:t>
      </w:r>
      <w:r>
        <w:rPr>
          <w:rFonts w:hint="eastAsia"/>
          <w:b/>
          <w:bCs/>
        </w:rPr>
        <w:t>3</w:t>
      </w:r>
      <w:r>
        <w:rPr>
          <w:rFonts w:hint="eastAsia"/>
        </w:rPr>
        <w:t>）科研成果：具有较好的科研能力。需以第一作者（或硕士期间导师第一、本人第二）发表（应届硕士毕业生含录用）学术论文至少一篇。</w:t>
      </w:r>
    </w:p>
    <w:p>
      <w:pPr>
        <w:widowControl/>
        <w:adjustRightInd w:val="0"/>
        <w:snapToGrid w:val="0"/>
        <w:jc w:val="left"/>
      </w:pPr>
      <w:r>
        <w:rPr>
          <w:rFonts w:hint="eastAsia"/>
        </w:rPr>
        <w:t>（</w:t>
      </w:r>
      <w:r>
        <w:rPr>
          <w:rFonts w:hint="eastAsia" w:ascii="宋体" w:hAnsi="宋体" w:eastAsia="宋体" w:cs="宋体"/>
          <w:kern w:val="0"/>
          <w:sz w:val="22"/>
        </w:rPr>
        <w:t>少民计划、对口支援及援疆师资计划等国家专项计划：新大学英语六级426及以上或旧大学英语六级合格及以上或英语专业八级合格或WSK（PETS 5）合格或在英语国家获得过学士及以上学位。</w:t>
      </w:r>
      <w:r>
        <w:rPr>
          <w:rFonts w:hint="eastAsia"/>
        </w:rPr>
        <w:t>）</w:t>
      </w:r>
    </w:p>
    <w:p>
      <w:pPr>
        <w:rPr>
          <w:b/>
          <w:bCs/>
        </w:rPr>
      </w:pPr>
      <w:r>
        <w:rPr>
          <w:rFonts w:hint="eastAsia"/>
          <w:b/>
        </w:rPr>
        <w:t>四、各类博士生申请程序</w:t>
      </w:r>
    </w:p>
    <w:p>
      <w:r>
        <w:rPr>
          <w:rFonts w:hint="eastAsia"/>
          <w:b/>
          <w:bCs/>
        </w:rPr>
        <w:t>1、直博生</w:t>
      </w:r>
      <w:r>
        <w:rPr>
          <w:rFonts w:hint="eastAsia"/>
        </w:rPr>
        <w:t>：外校推免生8月下旬在浙江大学研究生院招生信息网页关于接收外校推荐生的通知中申请；9月12日-15日左右公布初审通过名单；复试考核时间9月15日-22日左右。本校推免生9月初查看电气工程学院办公网研究生教育网页接收本校推免生的通知，填写申请表并递交材料；17日左右公布接收复试名单；17日-18日左右复试考核。</w:t>
      </w:r>
    </w:p>
    <w:p>
      <w:pPr>
        <w:tabs>
          <w:tab w:val="center" w:pos="4153"/>
        </w:tabs>
      </w:pPr>
      <w:r>
        <w:rPr>
          <w:rFonts w:hint="eastAsia"/>
          <w:b/>
          <w:bCs/>
        </w:rPr>
        <w:t>2、硕博连读：电气学院2021春季硕博连读</w:t>
      </w:r>
      <w:r>
        <w:rPr>
          <w:rFonts w:hint="eastAsia"/>
        </w:rPr>
        <w:t>申请时间2020年9月下旬；2021年秋季硕博连读</w:t>
      </w:r>
      <w:bookmarkStart w:id="0" w:name="_GoBack"/>
      <w:bookmarkEnd w:id="0"/>
      <w:r>
        <w:rPr>
          <w:rFonts w:hint="eastAsia"/>
        </w:rPr>
        <w:t>申请时间202</w:t>
      </w:r>
      <w:r>
        <w:rPr>
          <w:rFonts w:hint="eastAsia"/>
          <w:lang w:val="en-US" w:eastAsia="zh-CN"/>
        </w:rPr>
        <w:t>1</w:t>
      </w:r>
      <w:r>
        <w:rPr>
          <w:rFonts w:hint="eastAsia"/>
        </w:rPr>
        <w:t>年3月（根据研究生院名额分配情况安排硕博连读申请）。申请者递交浙江大学研究生院在校硕士生硕博连读申请表、</w:t>
      </w:r>
      <w:r>
        <w:rPr>
          <w:rFonts w:ascii="monospace" w:hAnsi="monospace" w:eastAsia="monospace" w:cs="monospace"/>
          <w:szCs w:val="21"/>
        </w:rPr>
        <w:t>两名报考学科专业领域内教授（或相当专业职称的专家）的书面推荐意见</w:t>
      </w:r>
      <w:r>
        <w:rPr>
          <w:rFonts w:hint="eastAsia" w:ascii="monospace" w:hAnsi="monospace" w:eastAsia="宋体" w:cs="monospace"/>
          <w:szCs w:val="21"/>
        </w:rPr>
        <w:t>，英语六级考试成绩报告单、或托福或雅思成绩单、硕士阶段成绩单。各学科成立考核组考核。</w:t>
      </w:r>
    </w:p>
    <w:p>
      <w:pPr>
        <w:tabs>
          <w:tab w:val="center" w:pos="4153"/>
        </w:tabs>
        <w:rPr>
          <w:b/>
          <w:bCs/>
        </w:rPr>
      </w:pPr>
      <w:r>
        <w:rPr>
          <w:rFonts w:hint="eastAsia"/>
          <w:b/>
          <w:bCs/>
        </w:rPr>
        <w:t>3、普通招考：</w:t>
      </w:r>
    </w:p>
    <w:p>
      <w:pPr>
        <w:adjustRightInd w:val="0"/>
        <w:snapToGrid w:val="0"/>
        <w:spacing w:line="360" w:lineRule="auto"/>
        <w:ind w:firstLine="525" w:firstLineChars="250"/>
        <w:jc w:val="left"/>
      </w:pPr>
      <w:r>
        <w:rPr>
          <w:rFonts w:hint="eastAsia"/>
        </w:rPr>
        <w:t>2020年10月中旬至11月中旬登录浙江大学研究生招生网博士研究生报名系统报名，按照规定要求进行报名（参见：浙江大学2021年博士研究生招生简章）。报名时申请人应填写所报考专业学科以及导师姓名。</w:t>
      </w:r>
    </w:p>
    <w:p>
      <w:pPr>
        <w:tabs>
          <w:tab w:val="center" w:pos="4153"/>
        </w:tabs>
        <w:adjustRightInd w:val="0"/>
        <w:snapToGrid w:val="0"/>
      </w:pPr>
      <w:r>
        <w:rPr>
          <w:rFonts w:hint="eastAsia"/>
        </w:rPr>
        <w:t>考生线上</w:t>
      </w:r>
      <w:r>
        <w:rPr>
          <w:rFonts w:hint="eastAsia"/>
          <w:lang w:eastAsia="zh-CN"/>
        </w:rPr>
        <w:t>提</w:t>
      </w:r>
      <w:r>
        <w:rPr>
          <w:rFonts w:hint="eastAsia"/>
        </w:rPr>
        <w:t>交材料:</w:t>
      </w:r>
    </w:p>
    <w:p>
      <w:pPr>
        <w:tabs>
          <w:tab w:val="center" w:pos="4153"/>
        </w:tabs>
        <w:adjustRightInd w:val="0"/>
        <w:snapToGrid w:val="0"/>
      </w:pPr>
      <w:r>
        <w:rPr>
          <w:rFonts w:hint="eastAsia"/>
        </w:rPr>
        <w:t>1）学习和学术研究的简要经历；</w:t>
      </w:r>
    </w:p>
    <w:p>
      <w:pPr>
        <w:tabs>
          <w:tab w:val="center" w:pos="4153"/>
        </w:tabs>
        <w:adjustRightInd w:val="0"/>
        <w:snapToGrid w:val="0"/>
      </w:pPr>
      <w:r>
        <w:rPr>
          <w:rFonts w:hint="eastAsia"/>
        </w:rPr>
        <w:t>2）本科生和硕士生阶段的学习成绩单（须授课单位盖章）；</w:t>
      </w:r>
    </w:p>
    <w:p>
      <w:pPr>
        <w:tabs>
          <w:tab w:val="center" w:pos="4153"/>
        </w:tabs>
        <w:adjustRightInd w:val="0"/>
        <w:snapToGrid w:val="0"/>
      </w:pPr>
      <w:r>
        <w:rPr>
          <w:rFonts w:hint="eastAsia"/>
        </w:rPr>
        <w:t>3）硕士学位论文全文以及对论文特色自我评述（如果没有论文全稿，可提供研究计划、方案以及主要成果）；</w:t>
      </w:r>
    </w:p>
    <w:p>
      <w:pPr>
        <w:tabs>
          <w:tab w:val="center" w:pos="4153"/>
        </w:tabs>
        <w:adjustRightInd w:val="0"/>
        <w:snapToGrid w:val="0"/>
      </w:pPr>
      <w:r>
        <w:rPr>
          <w:rFonts w:hint="eastAsia"/>
        </w:rPr>
        <w:t>4）能证明科研水平和能力的材料，包括发表论文、专利或论文正式录用函的复印件，或1篇学术论文代表作（不限是否发表）；</w:t>
      </w:r>
    </w:p>
    <w:p>
      <w:pPr>
        <w:tabs>
          <w:tab w:val="center" w:pos="4153"/>
        </w:tabs>
        <w:adjustRightInd w:val="0"/>
        <w:snapToGrid w:val="0"/>
      </w:pPr>
      <w:r>
        <w:rPr>
          <w:rFonts w:hint="eastAsia"/>
        </w:rPr>
        <w:t>5）一份3000字以内的拟攻读博士学位的研究计划书；</w:t>
      </w:r>
    </w:p>
    <w:p>
      <w:pPr>
        <w:tabs>
          <w:tab w:val="center" w:pos="4153"/>
        </w:tabs>
        <w:adjustRightInd w:val="0"/>
        <w:snapToGrid w:val="0"/>
      </w:pPr>
      <w:r>
        <w:rPr>
          <w:rFonts w:hint="eastAsia"/>
        </w:rPr>
        <w:t>6）最高学位证书，各类获奖证书，外语水平证明材料复印件；应届生提供本科毕业证书、本科学位证书外，同时需要提供在校证明。</w:t>
      </w:r>
    </w:p>
    <w:p>
      <w:pPr>
        <w:tabs>
          <w:tab w:val="center" w:pos="4153"/>
        </w:tabs>
        <w:adjustRightInd w:val="0"/>
        <w:snapToGrid w:val="0"/>
      </w:pPr>
      <w:r>
        <w:rPr>
          <w:rFonts w:hint="eastAsia"/>
          <w:lang w:val="en-US" w:eastAsia="zh-CN"/>
        </w:rPr>
        <w:t>7</w:t>
      </w:r>
      <w:r>
        <w:rPr>
          <w:rFonts w:hint="eastAsia"/>
        </w:rPr>
        <w:t>）2封相关专业教授（或相当职称）及以上专家签字出具的推荐信</w:t>
      </w:r>
      <w:r>
        <w:rPr>
          <w:rFonts w:hint="eastAsia"/>
          <w:lang w:eastAsia="zh-CN"/>
        </w:rPr>
        <w:t>（</w:t>
      </w:r>
      <w:r>
        <w:rPr>
          <w:rFonts w:hint="eastAsia"/>
          <w:b/>
          <w:bCs/>
          <w:lang w:eastAsia="zh-CN"/>
        </w:rPr>
        <w:t>推荐信请邮寄</w:t>
      </w:r>
      <w:r>
        <w:rPr>
          <w:rFonts w:hint="eastAsia"/>
          <w:lang w:eastAsia="zh-CN"/>
        </w:rPr>
        <w:t>）</w:t>
      </w:r>
      <w:r>
        <w:rPr>
          <w:rFonts w:hint="eastAsia"/>
        </w:rPr>
        <w:t>。</w:t>
      </w:r>
    </w:p>
    <w:p>
      <w:pPr>
        <w:tabs>
          <w:tab w:val="center" w:pos="4153"/>
        </w:tabs>
        <w:adjustRightInd w:val="0"/>
        <w:snapToGrid w:val="0"/>
      </w:pPr>
      <w:r>
        <w:rPr>
          <w:rFonts w:hint="eastAsia"/>
          <w:lang w:val="en-US" w:eastAsia="zh-CN"/>
        </w:rPr>
        <w:t>8</w:t>
      </w:r>
      <w:r>
        <w:rPr>
          <w:rFonts w:hint="eastAsia"/>
        </w:rPr>
        <w:t>)正在其他培养单位攻读博士学位的研究生，须递交目前培养单位的“同意报考证明”。</w:t>
      </w:r>
    </w:p>
    <w:p>
      <w:pPr>
        <w:rPr>
          <w:b/>
          <w:bCs/>
        </w:rPr>
      </w:pPr>
      <w:r>
        <w:rPr>
          <w:rFonts w:hint="eastAsia"/>
          <w:lang w:val="en-US" w:eastAsia="zh-CN"/>
        </w:rPr>
        <w:t>9</w:t>
      </w:r>
      <w:r>
        <w:rPr>
          <w:rFonts w:hint="eastAsia"/>
        </w:rPr>
        <w:t>）个人业绩汇总成表格，模板见</w:t>
      </w:r>
      <w:r>
        <w:rPr>
          <w:rFonts w:hint="eastAsia"/>
          <w:b/>
          <w:bCs/>
        </w:rPr>
        <w:t>附件1</w:t>
      </w:r>
    </w:p>
    <w:p>
      <w:pPr>
        <w:tabs>
          <w:tab w:val="center" w:pos="4153"/>
        </w:tabs>
        <w:adjustRightInd w:val="0"/>
        <w:snapToGrid w:val="0"/>
        <w:rPr>
          <w:b/>
          <w:bCs/>
        </w:rPr>
      </w:pPr>
      <w:r>
        <w:rPr>
          <w:rFonts w:hint="eastAsia"/>
          <w:b/>
          <w:bCs/>
        </w:rPr>
        <w:t>备注：</w:t>
      </w:r>
    </w:p>
    <w:p>
      <w:pPr>
        <w:tabs>
          <w:tab w:val="center" w:pos="4153"/>
        </w:tabs>
        <w:adjustRightInd w:val="0"/>
        <w:snapToGrid w:val="0"/>
      </w:pPr>
      <w:r>
        <w:rPr>
          <w:rFonts w:hint="eastAsia"/>
        </w:rPr>
        <w:t>1）申请材料请按上述清单顺序编号提供，若上述申请材料不全，将不予受理；</w:t>
      </w:r>
    </w:p>
    <w:p>
      <w:pPr>
        <w:tabs>
          <w:tab w:val="center" w:pos="4153"/>
        </w:tabs>
        <w:adjustRightInd w:val="0"/>
        <w:snapToGrid w:val="0"/>
      </w:pPr>
      <w:r>
        <w:rPr>
          <w:rFonts w:hint="eastAsia"/>
        </w:rPr>
        <w:t>2）上述所有材料提交后，将不再退回；</w:t>
      </w:r>
    </w:p>
    <w:p>
      <w:pPr>
        <w:tabs>
          <w:tab w:val="center" w:pos="4153"/>
        </w:tabs>
        <w:adjustRightInd w:val="0"/>
        <w:snapToGrid w:val="0"/>
      </w:pPr>
      <w:r>
        <w:rPr>
          <w:rFonts w:hint="eastAsia"/>
        </w:rPr>
        <w:t>3）根据情况，学院可能会要求申请者另外提交申请材料原件，以供查验；</w:t>
      </w:r>
    </w:p>
    <w:p>
      <w:pPr>
        <w:tabs>
          <w:tab w:val="center" w:pos="4153"/>
        </w:tabs>
        <w:adjustRightInd w:val="0"/>
        <w:snapToGrid w:val="0"/>
      </w:pPr>
      <w:r>
        <w:rPr>
          <w:rFonts w:hint="eastAsia"/>
        </w:rPr>
        <w:t>4）请于当年10月20日至11月</w:t>
      </w:r>
      <w:r>
        <w:rPr>
          <w:rFonts w:hint="eastAsia"/>
          <w:lang w:val="en-US" w:eastAsia="zh-CN"/>
        </w:rPr>
        <w:t>20</w:t>
      </w:r>
      <w:r>
        <w:rPr>
          <w:rFonts w:hint="eastAsia"/>
        </w:rPr>
        <w:t>日间递交材料，邮寄以11月</w:t>
      </w:r>
      <w:r>
        <w:rPr>
          <w:rFonts w:hint="eastAsia"/>
          <w:lang w:val="en-US" w:eastAsia="zh-CN"/>
        </w:rPr>
        <w:t>20</w:t>
      </w:r>
      <w:r>
        <w:rPr>
          <w:rFonts w:hint="eastAsia"/>
        </w:rPr>
        <w:t>日之前邮戳为准，逾期不予受理。</w:t>
      </w:r>
    </w:p>
    <w:p>
      <w:pPr>
        <w:widowControl/>
        <w:adjustRightInd w:val="0"/>
        <w:snapToGrid w:val="0"/>
        <w:ind w:firstLine="420" w:firstLineChars="200"/>
        <w:jc w:val="left"/>
      </w:pPr>
      <w:r>
        <w:rPr>
          <w:rFonts w:hint="eastAsia"/>
        </w:rPr>
        <w:t>申请报考递交材料邮寄地址(用EMS或顺丰邮寄）：浙江省杭州市浙大路38号浙江大学（玉泉校区）电气学院研究生教育教学科，邮编：310027。</w:t>
      </w:r>
    </w:p>
    <w:p>
      <w:pPr>
        <w:widowControl/>
        <w:adjustRightInd w:val="0"/>
        <w:snapToGrid w:val="0"/>
        <w:jc w:val="left"/>
      </w:pPr>
      <w:r>
        <w:rPr>
          <w:rFonts w:hint="eastAsia"/>
        </w:rPr>
        <w:t>个人业绩汇总表同以上材料一起邮寄的同时，将电子版(文件名：姓名+报考全日制博士）发送邮件：eegrs@zju.edu.cn</w:t>
      </w:r>
      <w:r>
        <w:rPr>
          <w:rFonts w:hint="eastAsia"/>
          <w:b/>
          <w:bCs/>
        </w:rPr>
        <w:t>。</w:t>
      </w:r>
    </w:p>
    <w:p>
      <w:r>
        <w:rPr>
          <w:rFonts w:hint="eastAsia"/>
          <w:b/>
        </w:rPr>
        <w:t>五、特色奖助学金</w:t>
      </w:r>
    </w:p>
    <w:p>
      <w:r>
        <w:rPr>
          <w:rFonts w:hint="eastAsia"/>
        </w:rPr>
        <w:t>学院设立由师生和校友共同捐赠的最高奖王国松奖学金，还与工业界的广泛合作，企业公司在学院设立的台达奖学金、三菱电机、卧龙奖学金等20项博士研究生奖助学金，对获优秀成果的全日制博士生研究生进行激励奖励。</w:t>
      </w:r>
    </w:p>
    <w:tbl>
      <w:tblPr>
        <w:tblStyle w:val="8"/>
        <w:tblW w:w="5684" w:type="dxa"/>
        <w:tblInd w:w="0" w:type="dxa"/>
        <w:tblLayout w:type="fixed"/>
        <w:tblCellMar>
          <w:top w:w="0" w:type="dxa"/>
          <w:left w:w="0" w:type="dxa"/>
          <w:bottom w:w="0" w:type="dxa"/>
          <w:right w:w="0" w:type="dxa"/>
        </w:tblCellMar>
      </w:tblPr>
      <w:tblGrid>
        <w:gridCol w:w="1034"/>
        <w:gridCol w:w="4650"/>
      </w:tblGrid>
      <w:tr>
        <w:tblPrEx>
          <w:tblCellMar>
            <w:top w:w="0" w:type="dxa"/>
            <w:left w:w="0" w:type="dxa"/>
            <w:bottom w:w="0" w:type="dxa"/>
            <w:right w:w="0" w:type="dxa"/>
          </w:tblCellMar>
        </w:tblPrEx>
        <w:trPr>
          <w:trHeight w:val="4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学院博士奖学金项目</w:t>
            </w:r>
          </w:p>
        </w:tc>
      </w:tr>
      <w:tr>
        <w:tblPrEx>
          <w:tblCellMar>
            <w:top w:w="0" w:type="dxa"/>
            <w:left w:w="0" w:type="dxa"/>
            <w:bottom w:w="0" w:type="dxa"/>
            <w:right w:w="0" w:type="dxa"/>
          </w:tblCellMar>
        </w:tblPrEx>
        <w:trPr>
          <w:trHeight w:val="38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王国松奖学金</w:t>
            </w:r>
          </w:p>
        </w:tc>
      </w:tr>
      <w:tr>
        <w:tblPrEx>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卧龙奖学金</w:t>
            </w:r>
          </w:p>
        </w:tc>
      </w:tr>
      <w:tr>
        <w:tblPrEx>
          <w:tblCellMar>
            <w:top w:w="0" w:type="dxa"/>
            <w:left w:w="0" w:type="dxa"/>
            <w:bottom w:w="0" w:type="dxa"/>
            <w:right w:w="0" w:type="dxa"/>
          </w:tblCellMar>
        </w:tblPrEx>
        <w:trPr>
          <w:trHeight w:val="3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3</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华仪电气奖学金</w:t>
            </w:r>
          </w:p>
        </w:tc>
      </w:tr>
      <w:tr>
        <w:tblPrEx>
          <w:tblCellMar>
            <w:top w:w="0" w:type="dxa"/>
            <w:left w:w="0" w:type="dxa"/>
            <w:bottom w:w="0" w:type="dxa"/>
            <w:right w:w="0" w:type="dxa"/>
          </w:tblCellMar>
        </w:tblPrEx>
        <w:trPr>
          <w:trHeight w:val="4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4</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台达奖学金</w:t>
            </w:r>
          </w:p>
        </w:tc>
      </w:tr>
      <w:tr>
        <w:tblPrEx>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5</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南瑞继保奖学金</w:t>
            </w:r>
          </w:p>
        </w:tc>
      </w:tr>
      <w:tr>
        <w:tblPrEx>
          <w:tblCellMar>
            <w:top w:w="0" w:type="dxa"/>
            <w:left w:w="0" w:type="dxa"/>
            <w:bottom w:w="0" w:type="dxa"/>
            <w:right w:w="0" w:type="dxa"/>
          </w:tblCellMar>
        </w:tblPrEx>
        <w:trPr>
          <w:trHeight w:val="4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6</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三菱电机奖学金</w:t>
            </w:r>
          </w:p>
        </w:tc>
      </w:tr>
      <w:tr>
        <w:tblPrEx>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7</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MPS</w:t>
            </w:r>
            <w:r>
              <w:rPr>
                <w:rStyle w:val="13"/>
                <w:rFonts w:hint="default"/>
              </w:rPr>
              <w:t>奖学金</w:t>
            </w:r>
          </w:p>
        </w:tc>
      </w:tr>
      <w:tr>
        <w:tblPrEx>
          <w:tblCellMar>
            <w:top w:w="0" w:type="dxa"/>
            <w:left w:w="0" w:type="dxa"/>
            <w:bottom w:w="0" w:type="dxa"/>
            <w:right w:w="0" w:type="dxa"/>
          </w:tblCellMar>
        </w:tblPrEx>
        <w:trPr>
          <w:trHeight w:val="3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8</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东元电机奖学金</w:t>
            </w:r>
          </w:p>
        </w:tc>
      </w:tr>
      <w:tr>
        <w:tblPrEx>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9</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汇川技术奖学金</w:t>
            </w:r>
          </w:p>
        </w:tc>
      </w:tr>
      <w:tr>
        <w:tblPrEx>
          <w:tblCellMar>
            <w:top w:w="0" w:type="dxa"/>
            <w:left w:w="0" w:type="dxa"/>
            <w:bottom w:w="0" w:type="dxa"/>
            <w:right w:w="0" w:type="dxa"/>
          </w:tblCellMar>
        </w:tblPrEx>
        <w:trPr>
          <w:trHeight w:val="4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10</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罗慈</w:t>
            </w:r>
            <w:r>
              <w:rPr>
                <w:rStyle w:val="14"/>
                <w:rFonts w:eastAsia="黑体"/>
              </w:rPr>
              <w:t>-</w:t>
            </w:r>
            <w:r>
              <w:rPr>
                <w:rStyle w:val="13"/>
                <w:rFonts w:hint="default"/>
              </w:rPr>
              <w:t>林文震奖学金</w:t>
            </w:r>
          </w:p>
        </w:tc>
      </w:tr>
      <w:tr>
        <w:tblPrEx>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11</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四方股份奖学金</w:t>
            </w:r>
          </w:p>
        </w:tc>
      </w:tr>
      <w:tr>
        <w:tblPrEx>
          <w:tblCellMar>
            <w:top w:w="0" w:type="dxa"/>
            <w:left w:w="0" w:type="dxa"/>
            <w:bottom w:w="0" w:type="dxa"/>
            <w:right w:w="0" w:type="dxa"/>
          </w:tblCellMar>
        </w:tblPrEx>
        <w:trPr>
          <w:trHeight w:val="3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12</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龙旗奖学金</w:t>
            </w:r>
          </w:p>
        </w:tc>
      </w:tr>
      <w:tr>
        <w:tblPrEx>
          <w:tblCellMar>
            <w:top w:w="0" w:type="dxa"/>
            <w:left w:w="0" w:type="dxa"/>
            <w:bottom w:w="0" w:type="dxa"/>
            <w:right w:w="0" w:type="dxa"/>
          </w:tblCellMar>
        </w:tblPrEx>
        <w:trPr>
          <w:trHeight w:val="3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13</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麦格米特奖助学金</w:t>
            </w:r>
          </w:p>
        </w:tc>
      </w:tr>
      <w:tr>
        <w:tblPrEx>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14</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段威奖学金</w:t>
            </w:r>
          </w:p>
        </w:tc>
      </w:tr>
      <w:tr>
        <w:tblPrEx>
          <w:tblCellMar>
            <w:top w:w="0" w:type="dxa"/>
            <w:left w:w="0" w:type="dxa"/>
            <w:bottom w:w="0" w:type="dxa"/>
            <w:right w:w="0" w:type="dxa"/>
          </w:tblCellMar>
        </w:tblPrEx>
        <w:trPr>
          <w:trHeight w:val="3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15</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英飞特奖学金</w:t>
            </w:r>
          </w:p>
        </w:tc>
      </w:tr>
      <w:tr>
        <w:tblPrEx>
          <w:tblCellMar>
            <w:top w:w="0" w:type="dxa"/>
            <w:left w:w="0" w:type="dxa"/>
            <w:bottom w:w="0" w:type="dxa"/>
            <w:right w:w="0" w:type="dxa"/>
          </w:tblCellMar>
        </w:tblPrEx>
        <w:trPr>
          <w:trHeight w:val="6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16</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东莞松山湖（生态园）易事特电力电子英才助学金</w:t>
            </w:r>
          </w:p>
        </w:tc>
      </w:tr>
      <w:tr>
        <w:tblPrEx>
          <w:tblCellMar>
            <w:top w:w="0" w:type="dxa"/>
            <w:left w:w="0" w:type="dxa"/>
            <w:bottom w:w="0" w:type="dxa"/>
            <w:right w:w="0" w:type="dxa"/>
          </w:tblCellMar>
        </w:tblPrEx>
        <w:trPr>
          <w:trHeight w:val="4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17</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凯利奖学金</w:t>
            </w:r>
          </w:p>
        </w:tc>
      </w:tr>
      <w:tr>
        <w:tblPrEx>
          <w:tblCellMar>
            <w:top w:w="0" w:type="dxa"/>
            <w:left w:w="0" w:type="dxa"/>
            <w:bottom w:w="0" w:type="dxa"/>
            <w:right w:w="0" w:type="dxa"/>
          </w:tblCellMar>
        </w:tblPrEx>
        <w:trPr>
          <w:trHeight w:val="2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18</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吴祖光奖学金</w:t>
            </w:r>
          </w:p>
        </w:tc>
      </w:tr>
      <w:tr>
        <w:tblPrEx>
          <w:tblCellMar>
            <w:top w:w="0" w:type="dxa"/>
            <w:left w:w="0" w:type="dxa"/>
            <w:bottom w:w="0" w:type="dxa"/>
            <w:right w:w="0" w:type="dxa"/>
          </w:tblCellMar>
        </w:tblPrEx>
        <w:trPr>
          <w:trHeight w:val="5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阳光电源奖学金</w:t>
            </w:r>
          </w:p>
        </w:tc>
      </w:tr>
      <w:tr>
        <w:tblPrEx>
          <w:tblCellMar>
            <w:top w:w="0" w:type="dxa"/>
            <w:left w:w="0" w:type="dxa"/>
            <w:bottom w:w="0" w:type="dxa"/>
            <w:right w:w="0" w:type="dxa"/>
          </w:tblCellMar>
        </w:tblPrEx>
        <w:trPr>
          <w:trHeight w:val="5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20</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康舒奖学金</w:t>
            </w:r>
          </w:p>
        </w:tc>
      </w:tr>
    </w:tbl>
    <w:p/>
    <w:p>
      <w:pPr>
        <w:numPr>
          <w:ilvl w:val="255"/>
          <w:numId w:val="0"/>
        </w:numPr>
        <w:tabs>
          <w:tab w:val="left" w:pos="1620"/>
        </w:tabs>
        <w:adjustRightInd w:val="0"/>
        <w:snapToGrid w:val="0"/>
        <w:rPr>
          <w:rFonts w:ascii="Times New Roman" w:hAnsi="Times New Roman"/>
          <w:kern w:val="0"/>
          <w:szCs w:val="21"/>
        </w:rPr>
      </w:pPr>
      <w:r>
        <w:rPr>
          <w:rFonts w:hint="eastAsia"/>
          <w:b/>
        </w:rPr>
        <w:t>六、博士招生培养的特色项目</w:t>
      </w:r>
    </w:p>
    <w:p>
      <w:pPr>
        <w:tabs>
          <w:tab w:val="left" w:pos="1620"/>
        </w:tabs>
        <w:adjustRightInd w:val="0"/>
        <w:snapToGrid w:val="0"/>
        <w:ind w:firstLine="420" w:firstLineChars="200"/>
        <w:rPr>
          <w:rFonts w:hint="eastAsia" w:ascii="Times New Roman" w:hAnsi="Times New Roman"/>
          <w:b/>
          <w:kern w:val="0"/>
          <w:szCs w:val="21"/>
        </w:rPr>
      </w:pPr>
      <w:r>
        <w:rPr>
          <w:rFonts w:hint="eastAsia" w:ascii="Times New Roman" w:hAnsi="Times New Roman"/>
          <w:kern w:val="0"/>
          <w:szCs w:val="21"/>
        </w:rPr>
        <w:t>高度重视博士生国际交流，多种形式支持博士研究生赴海外参加高水平国际学术会议、联合培养等长短期学术交流。2019年博士研究生出国出境交流率1</w:t>
      </w:r>
      <w:r>
        <w:rPr>
          <w:rFonts w:hint="eastAsia" w:ascii="Times New Roman" w:hAnsi="Times New Roman"/>
          <w:kern w:val="0"/>
          <w:szCs w:val="21"/>
          <w:lang w:val="en-US" w:eastAsia="zh-CN"/>
        </w:rPr>
        <w:t>11.8</w:t>
      </w:r>
      <w:r>
        <w:rPr>
          <w:rFonts w:hint="eastAsia" w:ascii="Times New Roman" w:hAnsi="Times New Roman"/>
          <w:kern w:val="0"/>
          <w:szCs w:val="21"/>
        </w:rPr>
        <w:t>%。与英国谢菲尔德大学签订了“</w:t>
      </w:r>
      <w:r>
        <w:rPr>
          <w:rFonts w:ascii="Times New Roman" w:hAnsi="Times New Roman"/>
          <w:kern w:val="0"/>
          <w:szCs w:val="21"/>
        </w:rPr>
        <w:t>1+4</w:t>
      </w:r>
      <w:r>
        <w:rPr>
          <w:rFonts w:hint="eastAsia" w:ascii="Times New Roman" w:hAnsi="Times New Roman"/>
          <w:kern w:val="0"/>
          <w:szCs w:val="21"/>
        </w:rPr>
        <w:t>”等双学位项目，按要求结束在两所学校的学习之后将分别获得浙江大学和谢菲尔德大学双博士学位。为留学生量身打造的18门全英文研究生课程同时面向本国学生，部分实现博士生课程教学国际化。还以国际研究生暑期学校项目、国际工作坊、研究生暑期海外社会实践等形式鼓励研究生参与形式丰富的国际学术交流，加强中外研究生之间的对话，提升研究生的国际学术视野和实践创新能力。</w:t>
      </w:r>
    </w:p>
    <w:p>
      <w:pPr>
        <w:tabs>
          <w:tab w:val="left" w:pos="1620"/>
        </w:tabs>
        <w:adjustRightInd w:val="0"/>
        <w:snapToGrid w:val="0"/>
        <w:ind w:firstLine="0" w:firstLineChars="0"/>
        <w:jc w:val="left"/>
        <w:rPr>
          <w:b/>
        </w:rPr>
      </w:pPr>
      <w:r>
        <w:rPr>
          <w:rFonts w:hint="eastAsia" w:ascii="Times New Roman" w:hAnsi="Times New Roman"/>
          <w:b/>
          <w:kern w:val="0"/>
          <w:szCs w:val="21"/>
        </w:rPr>
        <w:t>七、咨询联系人和联系</w:t>
      </w:r>
      <w:r>
        <w:rPr>
          <w:rFonts w:hint="eastAsia"/>
          <w:b/>
        </w:rPr>
        <w:t>方式</w:t>
      </w:r>
    </w:p>
    <w:p>
      <w:pPr>
        <w:rPr>
          <w:rFonts w:ascii="Times New Roman" w:hAnsi="Times New Roman"/>
          <w:kern w:val="0"/>
          <w:szCs w:val="21"/>
        </w:rPr>
      </w:pPr>
      <w:r>
        <w:rPr>
          <w:rFonts w:hint="eastAsia" w:ascii="Times New Roman" w:hAnsi="Times New Roman"/>
          <w:kern w:val="0"/>
          <w:szCs w:val="21"/>
        </w:rPr>
        <w:t>金若君</w:t>
      </w:r>
      <w:r>
        <w:rPr>
          <w:rFonts w:ascii="Times New Roman" w:hAnsi="Times New Roman"/>
          <w:kern w:val="0"/>
          <w:szCs w:val="21"/>
        </w:rPr>
        <w:t xml:space="preserve">    </w:t>
      </w:r>
      <w:r>
        <w:rPr>
          <w:rFonts w:hint="eastAsia" w:ascii="Times New Roman" w:hAnsi="Times New Roman"/>
          <w:kern w:val="0"/>
          <w:szCs w:val="21"/>
        </w:rPr>
        <w:t>电话：</w:t>
      </w:r>
      <w:r>
        <w:rPr>
          <w:rFonts w:ascii="Times New Roman" w:hAnsi="Times New Roman"/>
          <w:kern w:val="0"/>
          <w:szCs w:val="21"/>
        </w:rPr>
        <w:t>0571-87951691   E-mail</w:t>
      </w:r>
      <w:r>
        <w:rPr>
          <w:rFonts w:hint="eastAsia" w:ascii="Times New Roman" w:hAnsi="Times New Roman"/>
          <w:kern w:val="0"/>
          <w:szCs w:val="21"/>
        </w:rPr>
        <w:t>：eegrs</w:t>
      </w:r>
      <w:r>
        <w:rPr>
          <w:rFonts w:ascii="Times New Roman" w:hAnsi="Times New Roman"/>
          <w:kern w:val="0"/>
          <w:szCs w:val="21"/>
        </w:rPr>
        <w:t>@zju.edu.c</w:t>
      </w:r>
      <w:r>
        <w:rPr>
          <w:rFonts w:hint="eastAsia" w:ascii="Times New Roman" w:hAnsi="Times New Roman"/>
          <w:kern w:val="0"/>
          <w:szCs w:val="21"/>
        </w:rPr>
        <w:t>n</w:t>
      </w:r>
    </w:p>
    <w:p>
      <w:pPr>
        <w:widowControl/>
        <w:rPr>
          <w:rFonts w:ascii="宋体" w:hAnsi="宋体"/>
          <w:kern w:val="0"/>
          <w:szCs w:val="21"/>
        </w:rPr>
        <w:sectPr>
          <w:pgSz w:w="11906" w:h="16838"/>
          <w:pgMar w:top="1440" w:right="1800" w:bottom="1440" w:left="1800" w:header="851" w:footer="992" w:gutter="0"/>
          <w:cols w:space="425" w:num="1"/>
          <w:docGrid w:type="lines" w:linePitch="312" w:charSpace="0"/>
        </w:sectPr>
      </w:pPr>
    </w:p>
    <w:p>
      <w:pPr>
        <w:rPr>
          <w:rFonts w:cs="Times New Roman"/>
        </w:rPr>
      </w:pPr>
      <w:r>
        <w:rPr>
          <w:rFonts w:hint="eastAsia" w:cs="Times New Roman"/>
          <w:b/>
          <w:bCs/>
        </w:rPr>
        <w:t>附件1</w:t>
      </w:r>
      <w:r>
        <w:rPr>
          <w:rFonts w:hint="eastAsia" w:cs="Times New Roman"/>
        </w:rPr>
        <w:t>、个人业绩汇总表模板样表：（按以下模板填写本人业绩，纸质版与报名材料一同邮寄，并且将电子版(</w:t>
      </w:r>
      <w:r>
        <w:rPr>
          <w:rFonts w:hint="eastAsia" w:cs="Times New Roman"/>
          <w:b/>
          <w:bCs/>
        </w:rPr>
        <w:t>文件名：姓名+报考全日制博士</w:t>
      </w:r>
      <w:r>
        <w:rPr>
          <w:rFonts w:hint="eastAsia" w:cs="Times New Roman"/>
        </w:rPr>
        <w:t>）发送邮件：eegrs@zju.edu.cn）：</w:t>
      </w:r>
    </w:p>
    <w:tbl>
      <w:tblPr>
        <w:tblStyle w:val="8"/>
        <w:tblW w:w="14842" w:type="dxa"/>
        <w:tblInd w:w="0" w:type="dxa"/>
        <w:tblLayout w:type="fixed"/>
        <w:tblCellMar>
          <w:top w:w="15" w:type="dxa"/>
          <w:left w:w="15" w:type="dxa"/>
          <w:bottom w:w="15" w:type="dxa"/>
          <w:right w:w="15" w:type="dxa"/>
        </w:tblCellMar>
      </w:tblPr>
      <w:tblGrid>
        <w:gridCol w:w="1427"/>
        <w:gridCol w:w="1126"/>
        <w:gridCol w:w="1126"/>
        <w:gridCol w:w="1305"/>
        <w:gridCol w:w="2105"/>
        <w:gridCol w:w="1427"/>
        <w:gridCol w:w="1231"/>
        <w:gridCol w:w="1126"/>
        <w:gridCol w:w="1141"/>
        <w:gridCol w:w="1427"/>
        <w:gridCol w:w="1401"/>
      </w:tblGrid>
      <w:tr>
        <w:tblPrEx>
          <w:tblCellMar>
            <w:top w:w="15" w:type="dxa"/>
            <w:left w:w="15" w:type="dxa"/>
            <w:bottom w:w="15" w:type="dxa"/>
            <w:right w:w="15" w:type="dxa"/>
          </w:tblCellMar>
        </w:tblPrEx>
        <w:trPr>
          <w:trHeight w:val="1786"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姓名</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报考导师</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是否应届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英语考试类型/分数</w:t>
            </w:r>
            <w:r>
              <w:rPr>
                <w:rFonts w:hint="eastAsia" w:ascii="宋体" w:hAnsi="宋体" w:cs="宋体"/>
                <w:b/>
                <w:bCs/>
                <w:color w:val="000000"/>
                <w:kern w:val="0"/>
                <w:sz w:val="20"/>
                <w:szCs w:val="20"/>
              </w:rPr>
              <w:t>/获证书时间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发表文章期刊名（级别）/作者排序/发表或录用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参加项目名称/排序</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3000字研究计划书</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最高学位证书、各类获奖证书、外语水平证明材料复印件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2封推荐信</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专利名称/专利类型/排序</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15" w:type="dxa"/>
            <w:left w:w="15" w:type="dxa"/>
            <w:bottom w:w="15" w:type="dxa"/>
            <w:right w:w="15" w:type="dxa"/>
          </w:tblCellMar>
        </w:tblPrEx>
        <w:trPr>
          <w:trHeight w:val="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cs="宋体"/>
                <w:color w:val="000000"/>
                <w:sz w:val="22"/>
              </w:rPr>
              <w:t>填是或否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六级/567/201506</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1.高电压技术（EI) </w:t>
            </w:r>
            <w:r>
              <w:rPr>
                <w:rFonts w:hint="eastAsia" w:ascii="宋体" w:hAnsi="宋体" w:cs="宋体"/>
                <w:color w:val="000000"/>
                <w:kern w:val="0"/>
                <w:sz w:val="22"/>
              </w:rPr>
              <w:t>硕士</w:t>
            </w:r>
            <w:r>
              <w:rPr>
                <w:rFonts w:hint="eastAsia" w:ascii="宋体" w:hAnsi="宋体" w:eastAsia="宋体" w:cs="宋体"/>
                <w:color w:val="000000"/>
                <w:kern w:val="0"/>
                <w:sz w:val="22"/>
              </w:rPr>
              <w:t>导师一作，本人二作，已发表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2.高电压技术 非</w:t>
            </w:r>
            <w:r>
              <w:rPr>
                <w:rFonts w:hint="eastAsia" w:ascii="宋体" w:hAnsi="宋体" w:cs="宋体"/>
                <w:color w:val="000000"/>
                <w:kern w:val="0"/>
                <w:sz w:val="22"/>
              </w:rPr>
              <w:t>硕士</w:t>
            </w:r>
            <w:r>
              <w:rPr>
                <w:rFonts w:hint="eastAsia" w:ascii="宋体" w:hAnsi="宋体" w:eastAsia="宋体" w:cs="宋体"/>
                <w:color w:val="000000"/>
                <w:kern w:val="0"/>
                <w:sz w:val="22"/>
              </w:rPr>
              <w:t>导师一作，本人二作，已发表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3.CSEE JOURNAL OF POWER AND ENERGY SYSTEMS 本人</w:t>
            </w:r>
            <w:r>
              <w:rPr>
                <w:rFonts w:hint="eastAsia" w:ascii="宋体" w:hAnsi="宋体" w:cs="宋体"/>
                <w:color w:val="000000"/>
                <w:kern w:val="0"/>
                <w:sz w:val="22"/>
              </w:rPr>
              <w:t>一</w:t>
            </w:r>
            <w:r>
              <w:rPr>
                <w:rFonts w:hint="eastAsia" w:ascii="宋体" w:hAnsi="宋体" w:eastAsia="宋体" w:cs="宋体"/>
                <w:color w:val="000000"/>
                <w:kern w:val="0"/>
                <w:sz w:val="22"/>
              </w:rPr>
              <w:t>作，已发表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项目1****/第3，共5/项目2：****/第3，共5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****/发明专利/第2，导师1作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cs="宋体"/>
                <w:color w:val="000000"/>
                <w:kern w:val="0"/>
                <w:sz w:val="22"/>
              </w:rPr>
              <w:t>1、</w:t>
            </w:r>
            <w:r>
              <w:rPr>
                <w:rFonts w:hint="eastAsia" w:ascii="宋体" w:hAnsi="宋体" w:eastAsia="宋体" w:cs="宋体"/>
                <w:color w:val="000000"/>
                <w:kern w:val="0"/>
                <w:sz w:val="22"/>
              </w:rPr>
              <w:t>寄来时，文章SCI/EI，请</w:t>
            </w:r>
            <w:r>
              <w:rPr>
                <w:rFonts w:hint="eastAsia" w:ascii="宋体" w:hAnsi="宋体" w:eastAsia="宋体" w:cs="宋体"/>
                <w:color w:val="000000"/>
                <w:kern w:val="0"/>
                <w:sz w:val="22"/>
                <w:lang w:eastAsia="zh-CN"/>
              </w:rPr>
              <w:t>提供</w:t>
            </w:r>
            <w:r>
              <w:rPr>
                <w:rFonts w:hint="eastAsia" w:ascii="宋体" w:hAnsi="宋体" w:eastAsia="宋体" w:cs="宋体"/>
                <w:color w:val="000000"/>
                <w:kern w:val="0"/>
                <w:sz w:val="22"/>
              </w:rPr>
              <w:t>检索证明，专利请提供授权证明。</w:t>
            </w:r>
          </w:p>
          <w:p>
            <w:pPr>
              <w:widowControl/>
              <w:jc w:val="left"/>
              <w:textAlignment w:val="center"/>
              <w:rPr>
                <w:rFonts w:ascii="宋体" w:hAnsi="宋体" w:eastAsia="宋体" w:cs="宋体"/>
                <w:color w:val="000000"/>
                <w:kern w:val="0"/>
                <w:sz w:val="22"/>
              </w:rPr>
            </w:pPr>
            <w:r>
              <w:rPr>
                <w:rFonts w:hint="eastAsia" w:ascii="宋体" w:hAnsi="宋体" w:cs="宋体"/>
                <w:color w:val="000000"/>
                <w:kern w:val="0"/>
                <w:sz w:val="22"/>
              </w:rPr>
              <w:t>2、其他你需要说明的，可以在备注此说明</w:t>
            </w:r>
          </w:p>
        </w:tc>
      </w:tr>
    </w:tbl>
    <w:p>
      <w:pPr>
        <w:rPr>
          <w:rFonts w:ascii="宋体" w:hAnsi="宋体"/>
          <w:kern w:val="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DCE894"/>
    <w:multiLevelType w:val="singleLevel"/>
    <w:tmpl w:val="F4DCE8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042D"/>
    <w:rsid w:val="00000B5D"/>
    <w:rsid w:val="00022014"/>
    <w:rsid w:val="0003042D"/>
    <w:rsid w:val="00044615"/>
    <w:rsid w:val="00067C0C"/>
    <w:rsid w:val="00081FF0"/>
    <w:rsid w:val="000A007E"/>
    <w:rsid w:val="000A7C64"/>
    <w:rsid w:val="000E1E1F"/>
    <w:rsid w:val="000E4273"/>
    <w:rsid w:val="00101B45"/>
    <w:rsid w:val="00124AF3"/>
    <w:rsid w:val="00157FDA"/>
    <w:rsid w:val="0016062C"/>
    <w:rsid w:val="00181BD6"/>
    <w:rsid w:val="00182B43"/>
    <w:rsid w:val="0019562C"/>
    <w:rsid w:val="001A2B69"/>
    <w:rsid w:val="001C4828"/>
    <w:rsid w:val="001F558E"/>
    <w:rsid w:val="00272930"/>
    <w:rsid w:val="00281E0F"/>
    <w:rsid w:val="00286901"/>
    <w:rsid w:val="00294465"/>
    <w:rsid w:val="002B6B82"/>
    <w:rsid w:val="0034204F"/>
    <w:rsid w:val="0034280C"/>
    <w:rsid w:val="00343B8A"/>
    <w:rsid w:val="0034775A"/>
    <w:rsid w:val="00352CC5"/>
    <w:rsid w:val="003B6A28"/>
    <w:rsid w:val="003D0580"/>
    <w:rsid w:val="00425D15"/>
    <w:rsid w:val="00454B5B"/>
    <w:rsid w:val="00470BC5"/>
    <w:rsid w:val="00472EA5"/>
    <w:rsid w:val="00475716"/>
    <w:rsid w:val="00492079"/>
    <w:rsid w:val="004D1A6C"/>
    <w:rsid w:val="00581E12"/>
    <w:rsid w:val="00592521"/>
    <w:rsid w:val="005D72FB"/>
    <w:rsid w:val="005E5281"/>
    <w:rsid w:val="00627B9F"/>
    <w:rsid w:val="006306B7"/>
    <w:rsid w:val="006857A0"/>
    <w:rsid w:val="00687E1B"/>
    <w:rsid w:val="00697151"/>
    <w:rsid w:val="006F52D1"/>
    <w:rsid w:val="00734D36"/>
    <w:rsid w:val="00736578"/>
    <w:rsid w:val="00743173"/>
    <w:rsid w:val="00784FCA"/>
    <w:rsid w:val="008038E6"/>
    <w:rsid w:val="0084242A"/>
    <w:rsid w:val="00863C4B"/>
    <w:rsid w:val="00883773"/>
    <w:rsid w:val="00893C9F"/>
    <w:rsid w:val="008B48EC"/>
    <w:rsid w:val="008F1A04"/>
    <w:rsid w:val="009069D8"/>
    <w:rsid w:val="00942CF9"/>
    <w:rsid w:val="009579D5"/>
    <w:rsid w:val="0097507B"/>
    <w:rsid w:val="00975573"/>
    <w:rsid w:val="00997C5D"/>
    <w:rsid w:val="009C12FC"/>
    <w:rsid w:val="009D2A63"/>
    <w:rsid w:val="009E4A18"/>
    <w:rsid w:val="00A07C0F"/>
    <w:rsid w:val="00A13A4A"/>
    <w:rsid w:val="00A27370"/>
    <w:rsid w:val="00A279A1"/>
    <w:rsid w:val="00AA28FE"/>
    <w:rsid w:val="00AC0D0C"/>
    <w:rsid w:val="00AC153C"/>
    <w:rsid w:val="00AC2EAF"/>
    <w:rsid w:val="00AE55DF"/>
    <w:rsid w:val="00B3027E"/>
    <w:rsid w:val="00BA1C23"/>
    <w:rsid w:val="00BA2114"/>
    <w:rsid w:val="00BA3502"/>
    <w:rsid w:val="00BC42D7"/>
    <w:rsid w:val="00BC54D5"/>
    <w:rsid w:val="00BD4618"/>
    <w:rsid w:val="00C00E15"/>
    <w:rsid w:val="00C303D2"/>
    <w:rsid w:val="00C4391B"/>
    <w:rsid w:val="00CA5D91"/>
    <w:rsid w:val="00CB128E"/>
    <w:rsid w:val="00CB1708"/>
    <w:rsid w:val="00CC2E68"/>
    <w:rsid w:val="00CE6F25"/>
    <w:rsid w:val="00D022AA"/>
    <w:rsid w:val="00D2379B"/>
    <w:rsid w:val="00D319D3"/>
    <w:rsid w:val="00DA3221"/>
    <w:rsid w:val="00DC6FF7"/>
    <w:rsid w:val="00E01351"/>
    <w:rsid w:val="00E32F1D"/>
    <w:rsid w:val="00E35BF1"/>
    <w:rsid w:val="00E41F71"/>
    <w:rsid w:val="00E47D26"/>
    <w:rsid w:val="00E82418"/>
    <w:rsid w:val="00E90B2F"/>
    <w:rsid w:val="00EA6E05"/>
    <w:rsid w:val="00ED6678"/>
    <w:rsid w:val="00F0456D"/>
    <w:rsid w:val="00F21C12"/>
    <w:rsid w:val="00FC2362"/>
    <w:rsid w:val="00FC42F9"/>
    <w:rsid w:val="03D413F0"/>
    <w:rsid w:val="052B04C9"/>
    <w:rsid w:val="05DD0E8B"/>
    <w:rsid w:val="06987BBD"/>
    <w:rsid w:val="08C02FC6"/>
    <w:rsid w:val="09927884"/>
    <w:rsid w:val="09F15309"/>
    <w:rsid w:val="0A4A58A3"/>
    <w:rsid w:val="0A6924FD"/>
    <w:rsid w:val="0C497684"/>
    <w:rsid w:val="0D6905CE"/>
    <w:rsid w:val="0E0A4492"/>
    <w:rsid w:val="0EE10428"/>
    <w:rsid w:val="0F5E5A43"/>
    <w:rsid w:val="0FED2B26"/>
    <w:rsid w:val="101B2A41"/>
    <w:rsid w:val="102C5FAE"/>
    <w:rsid w:val="109D056C"/>
    <w:rsid w:val="11FB5F51"/>
    <w:rsid w:val="125F65F7"/>
    <w:rsid w:val="13417DA5"/>
    <w:rsid w:val="13F04F52"/>
    <w:rsid w:val="14A72211"/>
    <w:rsid w:val="15F235E5"/>
    <w:rsid w:val="16367962"/>
    <w:rsid w:val="164E4461"/>
    <w:rsid w:val="167C3001"/>
    <w:rsid w:val="16B11323"/>
    <w:rsid w:val="1708054C"/>
    <w:rsid w:val="19503ECC"/>
    <w:rsid w:val="1A51479D"/>
    <w:rsid w:val="1ACC44F8"/>
    <w:rsid w:val="1C6F4B37"/>
    <w:rsid w:val="1CA75CC3"/>
    <w:rsid w:val="21DC35E3"/>
    <w:rsid w:val="224E2A4C"/>
    <w:rsid w:val="229521B9"/>
    <w:rsid w:val="24B51BA9"/>
    <w:rsid w:val="278E7AAA"/>
    <w:rsid w:val="27D45451"/>
    <w:rsid w:val="28927FA8"/>
    <w:rsid w:val="29BB4E20"/>
    <w:rsid w:val="2ABF486B"/>
    <w:rsid w:val="2AC14253"/>
    <w:rsid w:val="2ACE06CC"/>
    <w:rsid w:val="2AD360BA"/>
    <w:rsid w:val="2C175F6D"/>
    <w:rsid w:val="2E702495"/>
    <w:rsid w:val="2F166639"/>
    <w:rsid w:val="2F574786"/>
    <w:rsid w:val="2FCD6C3A"/>
    <w:rsid w:val="301A3335"/>
    <w:rsid w:val="308A4EF4"/>
    <w:rsid w:val="31607347"/>
    <w:rsid w:val="32B1083D"/>
    <w:rsid w:val="32D41EEB"/>
    <w:rsid w:val="332E1BCE"/>
    <w:rsid w:val="33605957"/>
    <w:rsid w:val="33890C3D"/>
    <w:rsid w:val="34E038C2"/>
    <w:rsid w:val="35F329C0"/>
    <w:rsid w:val="361A049F"/>
    <w:rsid w:val="36271366"/>
    <w:rsid w:val="371145C5"/>
    <w:rsid w:val="391F05AC"/>
    <w:rsid w:val="39232BDA"/>
    <w:rsid w:val="39BF1DD8"/>
    <w:rsid w:val="3A721747"/>
    <w:rsid w:val="3A994F2B"/>
    <w:rsid w:val="3B7F406B"/>
    <w:rsid w:val="3C012836"/>
    <w:rsid w:val="3C3E1A05"/>
    <w:rsid w:val="3C6C755A"/>
    <w:rsid w:val="3D0A7F6E"/>
    <w:rsid w:val="3D716F9B"/>
    <w:rsid w:val="3D85281F"/>
    <w:rsid w:val="3EF221FB"/>
    <w:rsid w:val="41BA6A6B"/>
    <w:rsid w:val="42925A6E"/>
    <w:rsid w:val="455F73CB"/>
    <w:rsid w:val="45E47CE1"/>
    <w:rsid w:val="45FE62E5"/>
    <w:rsid w:val="46A04AC3"/>
    <w:rsid w:val="485A08C3"/>
    <w:rsid w:val="4A2A3501"/>
    <w:rsid w:val="4BFB4107"/>
    <w:rsid w:val="4D5566C0"/>
    <w:rsid w:val="4D98629D"/>
    <w:rsid w:val="4E3C0637"/>
    <w:rsid w:val="4EBC41DD"/>
    <w:rsid w:val="4EDF4AED"/>
    <w:rsid w:val="4F9E3448"/>
    <w:rsid w:val="5345724E"/>
    <w:rsid w:val="53D43EAF"/>
    <w:rsid w:val="54F62807"/>
    <w:rsid w:val="55415742"/>
    <w:rsid w:val="571521F1"/>
    <w:rsid w:val="57E41CBC"/>
    <w:rsid w:val="5898552C"/>
    <w:rsid w:val="591442CD"/>
    <w:rsid w:val="594469AC"/>
    <w:rsid w:val="5C896B35"/>
    <w:rsid w:val="5C9E7010"/>
    <w:rsid w:val="5CB95887"/>
    <w:rsid w:val="5E741103"/>
    <w:rsid w:val="5F725788"/>
    <w:rsid w:val="607410E6"/>
    <w:rsid w:val="60E80488"/>
    <w:rsid w:val="633C5EF5"/>
    <w:rsid w:val="63B2756E"/>
    <w:rsid w:val="64BF0AC4"/>
    <w:rsid w:val="64D16DC2"/>
    <w:rsid w:val="65337EFA"/>
    <w:rsid w:val="653D4140"/>
    <w:rsid w:val="65561C67"/>
    <w:rsid w:val="65A61B0A"/>
    <w:rsid w:val="66531552"/>
    <w:rsid w:val="67B66629"/>
    <w:rsid w:val="68054784"/>
    <w:rsid w:val="685407B7"/>
    <w:rsid w:val="6BFF229D"/>
    <w:rsid w:val="6C4F2E1A"/>
    <w:rsid w:val="6C6D620F"/>
    <w:rsid w:val="6D4262F5"/>
    <w:rsid w:val="6E2A3E53"/>
    <w:rsid w:val="6E607B4D"/>
    <w:rsid w:val="6E8C4A0B"/>
    <w:rsid w:val="6F9143E2"/>
    <w:rsid w:val="6FD06672"/>
    <w:rsid w:val="707A43C8"/>
    <w:rsid w:val="70D31EC2"/>
    <w:rsid w:val="710D0E02"/>
    <w:rsid w:val="71E032E5"/>
    <w:rsid w:val="7298186E"/>
    <w:rsid w:val="73390894"/>
    <w:rsid w:val="73934F6F"/>
    <w:rsid w:val="73B56A7A"/>
    <w:rsid w:val="73DD41BD"/>
    <w:rsid w:val="746326F2"/>
    <w:rsid w:val="750B2761"/>
    <w:rsid w:val="75A77F9E"/>
    <w:rsid w:val="7619513C"/>
    <w:rsid w:val="77C70D07"/>
    <w:rsid w:val="78540E39"/>
    <w:rsid w:val="7C3A1516"/>
    <w:rsid w:val="7E040D06"/>
    <w:rsid w:val="7E6B7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01"/>
    <w:basedOn w:val="9"/>
    <w:qFormat/>
    <w:uiPriority w:val="0"/>
    <w:rPr>
      <w:rFonts w:ascii="Arial" w:hAnsi="Arial" w:cs="Arial"/>
      <w:color w:val="000000"/>
      <w:sz w:val="20"/>
      <w:szCs w:val="20"/>
      <w:u w:val="none"/>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659</Words>
  <Characters>3758</Characters>
  <Lines>31</Lines>
  <Paragraphs>8</Paragraphs>
  <TotalTime>4</TotalTime>
  <ScaleCrop>false</ScaleCrop>
  <LinksUpToDate>false</LinksUpToDate>
  <CharactersWithSpaces>4409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2020-08-16T08:27:00Z</dcterms:created>
  <dc:creator>Dell</dc:creator>
  <cp:lastModifiedBy>金若君</cp:lastModifiedBy>
  <cp:lastPrinted>2019-10-15T08:43:00Z</cp:lastPrinted>
  <dcterms:modified xsi:type="dcterms:W3CDTF">2020-08-20T06:28:31Z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